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7" w:rsidRPr="005A4C2B" w:rsidRDefault="00621C57" w:rsidP="00621C57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21C57" w:rsidRPr="005A4C2B" w:rsidRDefault="00621C57" w:rsidP="00621C5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21C57" w:rsidRPr="005A4C2B" w:rsidRDefault="00621C57" w:rsidP="00621C57">
      <w:pPr>
        <w:spacing w:after="0" w:line="240" w:lineRule="auto"/>
        <w:rPr>
          <w:rFonts w:ascii="Corbel" w:hAnsi="Corbel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Standardy sprawozdawczości finansowej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/II/B.3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 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621C57" w:rsidRPr="005A4C2B" w:rsidTr="008121B6">
        <w:tc>
          <w:tcPr>
            <w:tcW w:w="2694" w:type="dxa"/>
            <w:vAlign w:val="center"/>
          </w:tcPr>
          <w:p w:rsidR="00621C57" w:rsidRPr="005A4C2B" w:rsidRDefault="00621C5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21C57" w:rsidRPr="005A4C2B" w:rsidRDefault="00621C5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621C57" w:rsidRPr="005A4C2B" w:rsidRDefault="00621C57" w:rsidP="00621C5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21C57" w:rsidRPr="005A4C2B" w:rsidRDefault="00621C57" w:rsidP="00621C5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21C5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57" w:rsidRPr="005A4C2B" w:rsidRDefault="00621C5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21C57" w:rsidRPr="005A4C2B" w:rsidRDefault="00621C5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57" w:rsidRPr="005A4C2B" w:rsidRDefault="00621C5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21C5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7" w:rsidRPr="005A4C2B" w:rsidRDefault="00621C5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21C57" w:rsidRPr="005A4C2B" w:rsidRDefault="00621C57" w:rsidP="00621C5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21C57" w:rsidRPr="005A4C2B" w:rsidRDefault="00621C57" w:rsidP="00621C5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1C57" w:rsidRPr="005A4C2B" w:rsidTr="008121B6">
        <w:tc>
          <w:tcPr>
            <w:tcW w:w="9670" w:type="dxa"/>
          </w:tcPr>
          <w:p w:rsidR="00621C57" w:rsidRPr="005A4C2B" w:rsidRDefault="00621C57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21C57" w:rsidRPr="005A4C2B" w:rsidRDefault="00621C57" w:rsidP="00621C5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21C57" w:rsidRPr="005A4C2B" w:rsidTr="008121B6">
        <w:tc>
          <w:tcPr>
            <w:tcW w:w="851" w:type="dxa"/>
            <w:vAlign w:val="center"/>
          </w:tcPr>
          <w:p w:rsidR="00621C57" w:rsidRPr="005A4C2B" w:rsidRDefault="00621C5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21C57" w:rsidRPr="005A4C2B" w:rsidRDefault="00621C57" w:rsidP="008121B6">
            <w:pPr>
              <w:spacing w:after="0" w:line="240" w:lineRule="auto"/>
              <w:ind w:left="-32" w:hanging="33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</w:t>
            </w:r>
            <w:r w:rsidRPr="005A4C2B">
              <w:rPr>
                <w:rFonts w:ascii="Corbel" w:hAnsi="Corbel" w:cs="Calibri"/>
                <w:sz w:val="21"/>
                <w:szCs w:val="21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21C57" w:rsidRPr="005A4C2B" w:rsidTr="008121B6">
        <w:tc>
          <w:tcPr>
            <w:tcW w:w="851" w:type="dxa"/>
            <w:vAlign w:val="center"/>
          </w:tcPr>
          <w:p w:rsidR="00621C57" w:rsidRPr="005A4C2B" w:rsidRDefault="00621C57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21C57" w:rsidRPr="005A4C2B" w:rsidRDefault="00621C57" w:rsidP="008121B6">
            <w:pPr>
              <w:spacing w:after="0" w:line="240" w:lineRule="auto"/>
              <w:rPr>
                <w:rFonts w:ascii="Corbel" w:hAnsi="Corbel" w:cs="Calibri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Wyjaś</w:t>
            </w:r>
            <w:r w:rsidRPr="005A4C2B">
              <w:rPr>
                <w:rFonts w:ascii="Corbel" w:hAnsi="Corbel" w:cs="Calibri"/>
                <w:sz w:val="21"/>
                <w:szCs w:val="21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21C57" w:rsidRPr="005A4C2B" w:rsidTr="008121B6">
        <w:tc>
          <w:tcPr>
            <w:tcW w:w="851" w:type="dxa"/>
            <w:vAlign w:val="center"/>
          </w:tcPr>
          <w:p w:rsidR="00621C57" w:rsidRPr="005A4C2B" w:rsidRDefault="00621C5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</w:t>
            </w: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wykorzystania poznanych zasad ujęcia aktywów i pasywów jednostki w sprawozdaniu finansowym </w:t>
            </w:r>
            <w:r w:rsidRPr="005A4C2B">
              <w:rPr>
                <w:rFonts w:ascii="Corbel" w:hAnsi="Corbel" w:cs="Calibri"/>
                <w:sz w:val="21"/>
                <w:szCs w:val="21"/>
              </w:rPr>
              <w:t xml:space="preserve">interpretowanie wskaźników wstępnej analizy </w:t>
            </w:r>
            <w:r w:rsidRPr="005A4C2B">
              <w:rPr>
                <w:rFonts w:ascii="Corbel" w:hAnsi="Corbel" w:cs="Calibri"/>
                <w:sz w:val="21"/>
                <w:szCs w:val="21"/>
              </w:rPr>
              <w:lastRenderedPageBreak/>
              <w:t>sprawozdań finansowych jednostki gospodarczej: bilansu, rachunku zysków i strat, przepływów pieniężnych, rachunku zmian w kapitale własnym.</w:t>
            </w:r>
          </w:p>
        </w:tc>
      </w:tr>
      <w:tr w:rsidR="00621C57" w:rsidRPr="005A4C2B" w:rsidTr="008121B6">
        <w:tc>
          <w:tcPr>
            <w:tcW w:w="851" w:type="dxa"/>
            <w:vAlign w:val="center"/>
          </w:tcPr>
          <w:p w:rsidR="00621C57" w:rsidRPr="005A4C2B" w:rsidRDefault="00621C5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621C57" w:rsidRPr="005A4C2B" w:rsidRDefault="00621C5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:rsidR="00621C57" w:rsidRPr="005A4C2B" w:rsidRDefault="00621C57" w:rsidP="00621C5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621C57" w:rsidRPr="005A4C2B" w:rsidRDefault="00621C57" w:rsidP="00621C5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621C57" w:rsidRPr="005A4C2B" w:rsidTr="008121B6">
        <w:tc>
          <w:tcPr>
            <w:tcW w:w="1701" w:type="dxa"/>
            <w:vAlign w:val="center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21C57" w:rsidRPr="005A4C2B" w:rsidTr="008121B6">
        <w:tc>
          <w:tcPr>
            <w:tcW w:w="1701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21C57" w:rsidRPr="005A4C2B" w:rsidTr="008121B6">
        <w:tc>
          <w:tcPr>
            <w:tcW w:w="1701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_02</w:t>
            </w:r>
          </w:p>
        </w:tc>
        <w:tc>
          <w:tcPr>
            <w:tcW w:w="6096" w:type="dxa"/>
          </w:tcPr>
          <w:p w:rsidR="00621C57" w:rsidRPr="005A4C2B" w:rsidRDefault="00621C57" w:rsidP="008121B6">
            <w:pPr>
              <w:spacing w:after="0" w:line="240" w:lineRule="auto"/>
              <w:rPr>
                <w:rFonts w:ascii="Corbel" w:hAnsi="Corbel" w:cs="Calibri"/>
                <w:sz w:val="21"/>
                <w:szCs w:val="21"/>
              </w:rPr>
            </w:pPr>
            <w:r w:rsidRPr="005A4C2B">
              <w:rPr>
                <w:rFonts w:ascii="Corbel" w:hAnsi="Corbel" w:cs="Calibri"/>
                <w:sz w:val="21"/>
                <w:szCs w:val="21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621C57" w:rsidRPr="005A4C2B" w:rsidTr="008121B6">
        <w:tc>
          <w:tcPr>
            <w:tcW w:w="1701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21C57" w:rsidRPr="005A4C2B" w:rsidRDefault="00621C57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Potrafi</w:t>
            </w: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621C57" w:rsidRPr="005A4C2B" w:rsidTr="008121B6">
        <w:tc>
          <w:tcPr>
            <w:tcW w:w="1701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621C57" w:rsidRPr="005A4C2B" w:rsidRDefault="00621C57" w:rsidP="008121B6">
            <w:pPr>
              <w:spacing w:after="0" w:line="240" w:lineRule="auto"/>
              <w:rPr>
                <w:rFonts w:ascii="Corbel" w:hAnsi="Corbel" w:cs="Calibri"/>
                <w:sz w:val="21"/>
                <w:szCs w:val="21"/>
              </w:rPr>
            </w:pPr>
            <w:r w:rsidRPr="005A4C2B">
              <w:rPr>
                <w:rFonts w:ascii="Corbel" w:hAnsi="Corbel" w:cs="Calibri"/>
                <w:sz w:val="21"/>
                <w:szCs w:val="21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621C57" w:rsidRPr="005A4C2B" w:rsidRDefault="00621C5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21C57" w:rsidRPr="005A4C2B" w:rsidRDefault="00621C57" w:rsidP="00621C57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21C57" w:rsidRPr="005A4C2B" w:rsidRDefault="00621C57" w:rsidP="00621C57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Omówienie podstawowych elementów jednostkowego sprawozdania finansowego jednostki. Nadrzędne metody i zasady rachunkowości –</w:t>
            </w:r>
            <w:proofErr w:type="spellStart"/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MSR,MSSF</w:t>
            </w:r>
            <w:proofErr w:type="spellEnd"/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. Układ i metody sporządzania bilansu, polityka bilansowa przedsiębiorstwa.</w:t>
            </w:r>
          </w:p>
        </w:tc>
      </w:tr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Układ i warianty rachunku zysków i strat, zasady sporządzania i wyceny wyników</w:t>
            </w:r>
          </w:p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21C57" w:rsidRPr="005A4C2B" w:rsidTr="008121B6">
        <w:tc>
          <w:tcPr>
            <w:tcW w:w="9639" w:type="dxa"/>
            <w:vAlign w:val="center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Ujęcie przychodów. </w:t>
            </w:r>
          </w:p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21C57" w:rsidRPr="005A4C2B" w:rsidTr="008121B6">
        <w:tc>
          <w:tcPr>
            <w:tcW w:w="9639" w:type="dxa"/>
          </w:tcPr>
          <w:p w:rsidR="00621C57" w:rsidRPr="005A4C2B" w:rsidRDefault="00621C5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rozwiązywanie przykładów, interpretacja wyników analiz sprawozdań finansowych.</w:t>
      </w:r>
    </w:p>
    <w:p w:rsidR="00621C57" w:rsidRDefault="00621C57" w:rsidP="00621C5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21C57" w:rsidRDefault="00621C57" w:rsidP="00621C5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21C57" w:rsidRPr="005A4C2B" w:rsidRDefault="00621C57" w:rsidP="00621C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621C57" w:rsidRPr="005A4C2B" w:rsidRDefault="00621C57" w:rsidP="00621C5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621C57" w:rsidRPr="005A4C2B" w:rsidTr="008121B6">
        <w:tc>
          <w:tcPr>
            <w:tcW w:w="1843" w:type="dxa"/>
            <w:vAlign w:val="center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21C57" w:rsidRPr="005A4C2B" w:rsidTr="008121B6">
        <w:tc>
          <w:tcPr>
            <w:tcW w:w="1843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21C57" w:rsidRPr="005A4C2B" w:rsidTr="008121B6">
        <w:tc>
          <w:tcPr>
            <w:tcW w:w="1843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21C57" w:rsidRPr="005A4C2B" w:rsidTr="008121B6">
        <w:tc>
          <w:tcPr>
            <w:tcW w:w="1843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21C57" w:rsidRPr="005A4C2B" w:rsidTr="008121B6">
        <w:tc>
          <w:tcPr>
            <w:tcW w:w="1843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1C57" w:rsidRPr="005A4C2B" w:rsidTr="008121B6">
        <w:tc>
          <w:tcPr>
            <w:tcW w:w="9670" w:type="dxa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21C57" w:rsidRPr="005A4C2B" w:rsidRDefault="00621C57" w:rsidP="00621C5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części opisowo-problemowej i przykładu do rozwiązania.</w:t>
            </w:r>
          </w:p>
          <w:p w:rsidR="00621C57" w:rsidRPr="005A4C2B" w:rsidRDefault="00621C5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otrzymania oceny 3,0 jest uzyskanie co najmniej 51% sumy punktów z poszczególnych aktywności.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1C57" w:rsidRPr="005A4C2B" w:rsidRDefault="00621C57" w:rsidP="00621C5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21C57" w:rsidRPr="005A4C2B" w:rsidTr="008121B6">
        <w:tc>
          <w:tcPr>
            <w:tcW w:w="4962" w:type="dxa"/>
            <w:vAlign w:val="center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21C57" w:rsidRPr="005A4C2B" w:rsidTr="008121B6">
        <w:tc>
          <w:tcPr>
            <w:tcW w:w="4962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621C57" w:rsidRPr="005A4C2B" w:rsidTr="008121B6">
        <w:tc>
          <w:tcPr>
            <w:tcW w:w="4962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21C57" w:rsidRPr="005A4C2B" w:rsidTr="008121B6">
        <w:tc>
          <w:tcPr>
            <w:tcW w:w="4962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21C57" w:rsidRPr="005A4C2B" w:rsidTr="008121B6">
        <w:tc>
          <w:tcPr>
            <w:tcW w:w="4962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21C57" w:rsidRPr="005A4C2B" w:rsidTr="008121B6">
        <w:tc>
          <w:tcPr>
            <w:tcW w:w="4962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21C57" w:rsidRPr="005A4C2B" w:rsidRDefault="00621C5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21C57" w:rsidRPr="005A4C2B" w:rsidRDefault="00621C57" w:rsidP="00621C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21C57" w:rsidRPr="005A4C2B" w:rsidTr="008121B6">
        <w:trPr>
          <w:trHeight w:val="397"/>
        </w:trPr>
        <w:tc>
          <w:tcPr>
            <w:tcW w:w="2359" w:type="pct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21C57" w:rsidRPr="005A4C2B" w:rsidTr="008121B6">
        <w:trPr>
          <w:trHeight w:val="397"/>
        </w:trPr>
        <w:tc>
          <w:tcPr>
            <w:tcW w:w="2359" w:type="pct"/>
          </w:tcPr>
          <w:p w:rsidR="00621C57" w:rsidRPr="005A4C2B" w:rsidRDefault="00621C5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21C57" w:rsidRPr="005A4C2B" w:rsidRDefault="00621C5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1C57" w:rsidRPr="005A4C2B" w:rsidRDefault="00621C57" w:rsidP="00621C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21C57" w:rsidRPr="005A4C2B" w:rsidTr="008121B6">
        <w:trPr>
          <w:trHeight w:val="397"/>
        </w:trPr>
        <w:tc>
          <w:tcPr>
            <w:tcW w:w="5000" w:type="pct"/>
          </w:tcPr>
          <w:p w:rsidR="00621C57" w:rsidRPr="005A4C2B" w:rsidRDefault="00621C57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Literatura podstawowa: </w:t>
            </w:r>
          </w:p>
          <w:p w:rsidR="00621C57" w:rsidRPr="005A4C2B" w:rsidRDefault="00621C57" w:rsidP="00621C57">
            <w:pPr>
              <w:pStyle w:val="Bezodstpw"/>
              <w:numPr>
                <w:ilvl w:val="0"/>
                <w:numId w:val="2"/>
              </w:numPr>
              <w:ind w:left="313" w:hanging="313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Marzec J., Śliwa J., Badanie sprawozdań finansowych przedsiębiorstw i ocena ich zdolności do rozwoju,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 2016.</w:t>
            </w:r>
          </w:p>
          <w:p w:rsidR="00621C57" w:rsidRPr="005A4C2B" w:rsidRDefault="00621C57" w:rsidP="00621C57">
            <w:pPr>
              <w:pStyle w:val="Bezodstpw"/>
              <w:numPr>
                <w:ilvl w:val="0"/>
                <w:numId w:val="2"/>
              </w:numPr>
              <w:ind w:left="313" w:hanging="313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Olchowicz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Tłaczała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A., Sprawozdawczość finansowa według krajowych i międzynarodowych standardów MSR/MSSF,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621C57" w:rsidRPr="005A4C2B" w:rsidRDefault="00621C57" w:rsidP="00621C57">
            <w:pPr>
              <w:pStyle w:val="Bezodstpw"/>
              <w:numPr>
                <w:ilvl w:val="0"/>
                <w:numId w:val="2"/>
              </w:numPr>
              <w:ind w:left="313" w:hanging="313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Krupa M., 6 etapów sprawnego przejścia z ustawy o rachunkowości na MSSF: praktyczne wskazówki jak przejść na MSSF i bezpiecznie je stosować, Wydawnictwo Wiedza i Praktyka, Warszawa 2015.</w:t>
            </w:r>
          </w:p>
        </w:tc>
      </w:tr>
      <w:tr w:rsidR="00621C57" w:rsidRPr="005A4C2B" w:rsidTr="008121B6">
        <w:trPr>
          <w:trHeight w:val="397"/>
        </w:trPr>
        <w:tc>
          <w:tcPr>
            <w:tcW w:w="5000" w:type="pct"/>
          </w:tcPr>
          <w:p w:rsidR="00621C57" w:rsidRPr="005A4C2B" w:rsidRDefault="00621C57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Literatura uzupełniająca: </w:t>
            </w:r>
          </w:p>
          <w:p w:rsidR="00621C57" w:rsidRPr="005A4C2B" w:rsidRDefault="00621C57" w:rsidP="00621C57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Filip P., Grzebyk M.,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Nesterowicz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R., Sowa B., Rachunkowość przedsiębiorstw. Podejmowanie i finansowanie działalności gospodarczej. Ewidencja. Sprawozdawczość. Wydawnictwo Uniwersytetu Rzeszowskiego, Rzeszów 2014.</w:t>
            </w:r>
          </w:p>
          <w:p w:rsidR="00621C57" w:rsidRPr="005A4C2B" w:rsidRDefault="00621C57" w:rsidP="00621C57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Ustawa z dnia 29 września 1994r. o rachunkowości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DzU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2016.1047).</w:t>
            </w:r>
          </w:p>
          <w:p w:rsidR="00621C57" w:rsidRPr="005A4C2B" w:rsidRDefault="00621C57" w:rsidP="00621C57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Bieżąca prasa specjalistyczna, miesięcznik „ Rachunkowość ” i  "Buchalter".</w:t>
            </w:r>
          </w:p>
        </w:tc>
      </w:tr>
    </w:tbl>
    <w:p w:rsidR="00621C57" w:rsidRPr="005A4C2B" w:rsidRDefault="00621C57" w:rsidP="00621C5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21C57" w:rsidRPr="005A4C2B" w:rsidRDefault="00621C57" w:rsidP="00621C57">
      <w:pPr>
        <w:spacing w:line="240" w:lineRule="auto"/>
        <w:rPr>
          <w:rFonts w:ascii="Corbel" w:hAnsi="Corbel"/>
          <w:bCs/>
          <w:i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t xml:space="preserve">   </w:t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</w:p>
    <w:p w:rsidR="00621C57" w:rsidRPr="005A4C2B" w:rsidRDefault="00621C57" w:rsidP="00621C5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B7C19"/>
    <w:multiLevelType w:val="hybridMultilevel"/>
    <w:tmpl w:val="F4900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717AC5"/>
    <w:multiLevelType w:val="hybridMultilevel"/>
    <w:tmpl w:val="B742D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F2B71"/>
    <w:multiLevelType w:val="hybridMultilevel"/>
    <w:tmpl w:val="AF6E8294"/>
    <w:lvl w:ilvl="0" w:tplc="D32CF6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1C57"/>
    <w:rsid w:val="00621C57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C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C57"/>
    <w:pPr>
      <w:ind w:left="720"/>
      <w:contextualSpacing/>
    </w:pPr>
  </w:style>
  <w:style w:type="paragraph" w:customStyle="1" w:styleId="Default">
    <w:name w:val="Default"/>
    <w:uiPriority w:val="99"/>
    <w:rsid w:val="00621C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21C5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1C5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21C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1C57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21C5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1C5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1C5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1C5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1C5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21C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21C5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5971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2019-02-03T17:11:00Z</dcterms:created>
  <dcterms:modified xsi:type="dcterms:W3CDTF">2019-02-03T17:11:00Z</dcterms:modified>
</cp:coreProperties>
</file>