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270C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6E9F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DC4880" w14:textId="0C640523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6B71BB">
        <w:rPr>
          <w:rFonts w:ascii="Corbel" w:hAnsi="Corbel"/>
          <w:b/>
          <w:bCs/>
          <w:iCs/>
          <w:smallCaps/>
          <w:sz w:val="24"/>
          <w:szCs w:val="24"/>
        </w:rPr>
        <w:t>2020-202</w:t>
      </w:r>
      <w:r w:rsidR="006B71BB">
        <w:rPr>
          <w:rFonts w:ascii="Corbel" w:hAnsi="Corbel"/>
          <w:b/>
          <w:bCs/>
          <w:iCs/>
          <w:smallCaps/>
          <w:sz w:val="24"/>
          <w:szCs w:val="24"/>
        </w:rPr>
        <w:t>2</w:t>
      </w:r>
      <w:r w:rsidR="00DC6D0C" w:rsidRPr="006B71BB">
        <w:rPr>
          <w:rFonts w:ascii="Corbel" w:hAnsi="Corbel"/>
          <w:b/>
          <w:bCs/>
          <w:iCs/>
          <w:smallCaps/>
          <w:sz w:val="24"/>
          <w:szCs w:val="24"/>
        </w:rPr>
        <w:t xml:space="preserve"> </w:t>
      </w:r>
    </w:p>
    <w:p w14:paraId="7D6B3263" w14:textId="4F3C4CB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B67E9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EB67E9">
        <w:rPr>
          <w:rFonts w:ascii="Corbel" w:hAnsi="Corbel"/>
          <w:sz w:val="20"/>
          <w:szCs w:val="20"/>
        </w:rPr>
        <w:t>2</w:t>
      </w:r>
    </w:p>
    <w:p w14:paraId="1478FC3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6FEA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5AD41E" w14:textId="77777777" w:rsidTr="00B819C8">
        <w:tc>
          <w:tcPr>
            <w:tcW w:w="2694" w:type="dxa"/>
            <w:vAlign w:val="center"/>
          </w:tcPr>
          <w:p w14:paraId="607C412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DD0D7A" w14:textId="77777777" w:rsidR="0085747A" w:rsidRPr="009C54AE" w:rsidRDefault="000C68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9C54AE" w14:paraId="3BF11857" w14:textId="77777777" w:rsidTr="007A3647">
        <w:tc>
          <w:tcPr>
            <w:tcW w:w="2694" w:type="dxa"/>
            <w:vAlign w:val="center"/>
          </w:tcPr>
          <w:p w14:paraId="478851B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B40358" w14:textId="77777777" w:rsidR="0085747A" w:rsidRPr="00AA2E0A" w:rsidRDefault="000C683B" w:rsidP="006B71B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/II/</w:t>
            </w:r>
            <w:proofErr w:type="spellStart"/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RiA</w:t>
            </w:r>
            <w:proofErr w:type="spellEnd"/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/C.4</w:t>
            </w:r>
          </w:p>
        </w:tc>
      </w:tr>
      <w:tr w:rsidR="0085747A" w:rsidRPr="009C54AE" w14:paraId="2D7230BB" w14:textId="77777777" w:rsidTr="00B819C8">
        <w:tc>
          <w:tcPr>
            <w:tcW w:w="2694" w:type="dxa"/>
            <w:vAlign w:val="center"/>
          </w:tcPr>
          <w:p w14:paraId="2B3FA57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BC64C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C699B02" w14:textId="77777777" w:rsidTr="00B819C8">
        <w:tc>
          <w:tcPr>
            <w:tcW w:w="2694" w:type="dxa"/>
            <w:vAlign w:val="center"/>
          </w:tcPr>
          <w:p w14:paraId="10C450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3DD036" w14:textId="5BC4FEA9" w:rsidR="0085747A" w:rsidRPr="009C54AE" w:rsidRDefault="00B36B3A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65760007" w14:textId="77777777" w:rsidTr="00B819C8">
        <w:tc>
          <w:tcPr>
            <w:tcW w:w="2694" w:type="dxa"/>
            <w:vAlign w:val="center"/>
          </w:tcPr>
          <w:p w14:paraId="1A6C6B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549F74" w14:textId="6278CF3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B71B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1BBCB16B" w14:textId="77777777" w:rsidTr="00B819C8">
        <w:tc>
          <w:tcPr>
            <w:tcW w:w="2694" w:type="dxa"/>
            <w:vAlign w:val="center"/>
          </w:tcPr>
          <w:p w14:paraId="7AEBF30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8D7D96B" w14:textId="77777777" w:rsidR="0085747A" w:rsidRPr="009C54AE" w:rsidRDefault="000C683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E5AB120" w14:textId="77777777" w:rsidTr="00B819C8">
        <w:tc>
          <w:tcPr>
            <w:tcW w:w="2694" w:type="dxa"/>
            <w:vAlign w:val="center"/>
          </w:tcPr>
          <w:p w14:paraId="30EF1D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5169F4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D43CC0B" w14:textId="77777777" w:rsidTr="00B819C8">
        <w:tc>
          <w:tcPr>
            <w:tcW w:w="2694" w:type="dxa"/>
            <w:vAlign w:val="center"/>
          </w:tcPr>
          <w:p w14:paraId="6849D9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21BC5A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3D16A80" w14:textId="77777777" w:rsidTr="00B819C8">
        <w:tc>
          <w:tcPr>
            <w:tcW w:w="2694" w:type="dxa"/>
            <w:vAlign w:val="center"/>
          </w:tcPr>
          <w:p w14:paraId="3CF7A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8956BE" w14:textId="77777777" w:rsidR="0085747A" w:rsidRPr="009C54AE" w:rsidRDefault="008962A4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6BF85019" w14:textId="77777777" w:rsidTr="00B819C8">
        <w:tc>
          <w:tcPr>
            <w:tcW w:w="2694" w:type="dxa"/>
            <w:vAlign w:val="center"/>
          </w:tcPr>
          <w:p w14:paraId="33EF82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61AB61" w14:textId="4FB140AC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6514E9E" w14:textId="77777777" w:rsidTr="00B819C8">
        <w:tc>
          <w:tcPr>
            <w:tcW w:w="2694" w:type="dxa"/>
            <w:vAlign w:val="center"/>
          </w:tcPr>
          <w:p w14:paraId="3025C13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718D95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BC2C8B" w14:textId="77777777" w:rsidTr="00B819C8">
        <w:tc>
          <w:tcPr>
            <w:tcW w:w="2694" w:type="dxa"/>
            <w:vAlign w:val="center"/>
          </w:tcPr>
          <w:p w14:paraId="1841D3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670F21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6AF56401" w14:textId="77777777" w:rsidTr="00B819C8">
        <w:tc>
          <w:tcPr>
            <w:tcW w:w="2694" w:type="dxa"/>
            <w:vAlign w:val="center"/>
          </w:tcPr>
          <w:p w14:paraId="5A05BC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137828" w14:textId="77777777" w:rsidR="0085747A" w:rsidRPr="009C54AE" w:rsidRDefault="00AA2E0A" w:rsidP="000C68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Kasprzyk, dr J. Wojnar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, dr B. Fura, dr P. Szura</w:t>
            </w:r>
          </w:p>
        </w:tc>
      </w:tr>
    </w:tbl>
    <w:p w14:paraId="630A738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FEAA9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E2D3D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E6DF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F1DECB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F1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0B42F8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44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1EF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78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315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8E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E67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28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1DC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DC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DF7370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08CA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30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E054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AD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A1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28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16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24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7F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32E5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008195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BFC3E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CAD3A7" w14:textId="67A6E0C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0B4BEE" w14:textId="77777777" w:rsidR="006B71BB" w:rsidRPr="009C54AE" w:rsidRDefault="006B71BB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891A378" w14:textId="77777777" w:rsidR="006B71BB" w:rsidRPr="009C54AE" w:rsidRDefault="006B71BB" w:rsidP="006B71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391DD1" w14:textId="77777777" w:rsidR="006B71BB" w:rsidRPr="009C54AE" w:rsidRDefault="006B71BB" w:rsidP="006B71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BE0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3A72B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FBAC64" w14:textId="648F2006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C61AA" w14:textId="7C855F3F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23A3FAFC" w14:textId="64E05C34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E1BBF" w14:textId="7FBB3497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DD8CA0" w14:textId="0D68B510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F6DF9D" w14:textId="0DED3160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BF136" w14:textId="77777777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114CC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1CBB169B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CC69F5" w14:textId="77777777" w:rsidTr="00745302">
        <w:tc>
          <w:tcPr>
            <w:tcW w:w="9670" w:type="dxa"/>
          </w:tcPr>
          <w:p w14:paraId="505F07A8" w14:textId="77777777" w:rsidR="007A364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EF7">
              <w:rPr>
                <w:rFonts w:ascii="Corbel" w:hAnsi="Corbel"/>
                <w:b w:val="0"/>
                <w:smallCaps w:val="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68B59F94" w14:textId="77777777" w:rsidR="007A3647" w:rsidRPr="00846EF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Umiejętność analizy problemów ekonomicznych z wykorz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ystaniem narzędzi ilościowych;</w:t>
            </w:r>
          </w:p>
          <w:p w14:paraId="1AB7F205" w14:textId="77777777" w:rsidR="0085747A" w:rsidRPr="009C54AE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Znajomość zagadnień realizowanych w ramach przedmiotów: matematyka, mikroekonomia, makroekonomia oraz statystyka i ekonometria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609A21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9B134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A3F985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C3D3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90727F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3647" w:rsidRPr="00AF4A52" w14:paraId="3A5043CC" w14:textId="77777777" w:rsidTr="009D1278">
        <w:tc>
          <w:tcPr>
            <w:tcW w:w="675" w:type="dxa"/>
            <w:vAlign w:val="center"/>
          </w:tcPr>
          <w:p w14:paraId="0B855891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5A371C5" w14:textId="77777777" w:rsidR="007A3647" w:rsidRPr="00846EF7" w:rsidRDefault="007A3647" w:rsidP="009D1278">
            <w:pPr>
              <w:ind w:right="-15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A7AF1">
              <w:rPr>
                <w:rFonts w:ascii="Corbel" w:hAnsi="Corbel"/>
                <w:sz w:val="24"/>
                <w:szCs w:val="24"/>
              </w:rPr>
              <w:t xml:space="preserve">ozszerzenie oraz ugruntowanie podstawowej wiedzy z mikroekonomii oraz makroekonomii metodologią współczesnej matematyki. </w:t>
            </w:r>
            <w:r w:rsidRPr="0082195C">
              <w:rPr>
                <w:rFonts w:ascii="Corbel" w:hAnsi="Corbel"/>
                <w:sz w:val="24"/>
                <w:szCs w:val="24"/>
              </w:rPr>
              <w:t>Nabycie umiejętności formułowania problemów ekonomicznych w ujęciu aksjomatyki matematycznej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195C">
              <w:rPr>
                <w:rFonts w:ascii="Corbel" w:hAnsi="Corbel"/>
                <w:sz w:val="24"/>
                <w:szCs w:val="24"/>
              </w:rPr>
              <w:t>i ich rozwiązywania.</w:t>
            </w:r>
          </w:p>
        </w:tc>
      </w:tr>
      <w:tr w:rsidR="007A3647" w:rsidRPr="00AF4A52" w14:paraId="0C96CBBC" w14:textId="77777777" w:rsidTr="009D1278">
        <w:tc>
          <w:tcPr>
            <w:tcW w:w="675" w:type="dxa"/>
            <w:vAlign w:val="center"/>
          </w:tcPr>
          <w:p w14:paraId="3445A98C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6F8641CA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195C">
              <w:rPr>
                <w:rFonts w:ascii="Corbel" w:hAnsi="Corbel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ekonomicznych, kształtowanie umiejętności precyzyjnego formułowania rozwiązań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647" w:rsidRPr="00AF4A52" w14:paraId="2E681E78" w14:textId="77777777" w:rsidTr="009D1278">
        <w:tc>
          <w:tcPr>
            <w:tcW w:w="675" w:type="dxa"/>
            <w:vAlign w:val="center"/>
          </w:tcPr>
          <w:p w14:paraId="1012ADC3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7A0C9BD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</w:t>
            </w:r>
            <w:r>
              <w:rPr>
                <w:rFonts w:ascii="Corbel" w:hAnsi="Corbel"/>
                <w:sz w:val="24"/>
                <w:szCs w:val="24"/>
              </w:rPr>
              <w:t>jętności myślenia analitycznego oraz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B65AE05" w14:textId="77777777" w:rsidR="007A3647" w:rsidRDefault="007A364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6D1DA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AA9F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BBC6858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5970"/>
        <w:gridCol w:w="1862"/>
      </w:tblGrid>
      <w:tr w:rsidR="007A3647" w:rsidRPr="00AF4A52" w14:paraId="5BE53F72" w14:textId="77777777" w:rsidTr="009D1278">
        <w:tc>
          <w:tcPr>
            <w:tcW w:w="1688" w:type="dxa"/>
          </w:tcPr>
          <w:p w14:paraId="15FBD02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 ( efekt kształcenia)</w:t>
            </w:r>
          </w:p>
          <w:p w14:paraId="786D86B7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  <w:tc>
          <w:tcPr>
            <w:tcW w:w="5970" w:type="dxa"/>
          </w:tcPr>
          <w:p w14:paraId="1CD601CF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14:paraId="59102842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Odniesienie do efektów  kierunkowych (KEK)</w:t>
            </w:r>
          </w:p>
        </w:tc>
      </w:tr>
      <w:tr w:rsidR="007A3647" w:rsidRPr="00AF4A52" w14:paraId="61A79C57" w14:textId="77777777" w:rsidTr="009D1278">
        <w:tc>
          <w:tcPr>
            <w:tcW w:w="1688" w:type="dxa"/>
          </w:tcPr>
          <w:p w14:paraId="04BFDF98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70" w:type="dxa"/>
          </w:tcPr>
          <w:p w14:paraId="4FF18244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Wskazuje istotne związki nauk ekonomicznych z naukami matematycznymi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koncepcje teorii ekonomii formułowane w języku matematyki w odniesieniu do zjawisk mikroekonomicznych i makroekonomicznych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współzależności pomiędzy zjawiskami makroekonomicznymi i finansowymi.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Pogłębia wiedzę na temat zaawansowanych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 analizy i modelowania procesów gospodarczych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7F1F3F72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6CD1E2F6" w14:textId="77777777" w:rsidR="007A3647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4AFCDC98" w14:textId="77777777" w:rsidR="007A3647" w:rsidRPr="00FC1A51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2C6C6E6D" w14:textId="77777777" w:rsidTr="009D1278">
        <w:tc>
          <w:tcPr>
            <w:tcW w:w="1688" w:type="dxa"/>
          </w:tcPr>
          <w:p w14:paraId="7625AFBC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70" w:type="dxa"/>
          </w:tcPr>
          <w:p w14:paraId="1ED3C259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przedstawić problemy ekonomiczne w języku matematycznym i znaleźć ich rozwiązania.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 zjawiska i procesy zachodzące w gospodarce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</w:t>
            </w: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determinujące sytuację ekonomiczno-finansową organizacji oraz określa ich skutki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przedstawienia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występujących współzależności skwantyfikowane zmienne mikro- i  makroekonomiczne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CD39E55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1D6E0018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20064AB3" w14:textId="77777777" w:rsidR="007A3647" w:rsidRPr="00FC1A51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3AB4160A" w14:textId="77777777" w:rsidTr="009D1278">
        <w:tc>
          <w:tcPr>
            <w:tcW w:w="1688" w:type="dxa"/>
          </w:tcPr>
          <w:p w14:paraId="56D50451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5970" w:type="dxa"/>
          </w:tcPr>
          <w:p w14:paraId="45138485" w14:textId="77777777" w:rsidR="007A3647" w:rsidRPr="00FC1A51" w:rsidRDefault="007A3647" w:rsidP="009D12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ciągłego doskonalenia własnych umiejętności i poszerzania wiedzy.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Przejawia postawę do samodzielnych działań w uczeniu się i organizacji własnej pracy w zakresie wykorzystania metod matematycznych do analiz ekonomicznych.</w:t>
            </w:r>
          </w:p>
        </w:tc>
        <w:tc>
          <w:tcPr>
            <w:tcW w:w="1862" w:type="dxa"/>
          </w:tcPr>
          <w:p w14:paraId="18CFCE24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14:paraId="7723FD29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29BE591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66DCBC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2FA97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3647">
        <w:rPr>
          <w:rFonts w:ascii="Corbel" w:hAnsi="Corbel"/>
          <w:sz w:val="24"/>
          <w:szCs w:val="24"/>
        </w:rPr>
        <w:t>Problematyka ćwiczeń audytoryjnych</w:t>
      </w:r>
    </w:p>
    <w:p w14:paraId="68855D6C" w14:textId="77777777" w:rsidR="007A3647" w:rsidRPr="007A3647" w:rsidRDefault="007A3647" w:rsidP="007A364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3647" w:rsidRPr="006C59EC" w14:paraId="30D78BF8" w14:textId="77777777" w:rsidTr="009D1278">
        <w:tc>
          <w:tcPr>
            <w:tcW w:w="9639" w:type="dxa"/>
          </w:tcPr>
          <w:p w14:paraId="5F5DE999" w14:textId="77777777" w:rsidR="007A3647" w:rsidRPr="006C59EC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647" w:rsidRPr="006C59EC" w14:paraId="709A9F12" w14:textId="77777777" w:rsidTr="009D1278">
        <w:tc>
          <w:tcPr>
            <w:tcW w:w="9639" w:type="dxa"/>
          </w:tcPr>
          <w:p w14:paraId="58216675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Elementy matematycznej teorii popytu</w:t>
            </w:r>
            <w:r>
              <w:rPr>
                <w:rFonts w:ascii="Corbel" w:hAnsi="Corbel"/>
                <w:sz w:val="24"/>
                <w:szCs w:val="24"/>
              </w:rPr>
              <w:t xml:space="preserve"> konsumenta</w:t>
            </w:r>
          </w:p>
          <w:p w14:paraId="14648DA5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Preferencje i funkcje użyteczności. </w:t>
            </w:r>
            <w:r>
              <w:rPr>
                <w:rFonts w:ascii="Corbel" w:hAnsi="Corbel"/>
                <w:sz w:val="24"/>
                <w:szCs w:val="24"/>
              </w:rPr>
              <w:t xml:space="preserve">Własności funkcji użyteczności.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 xml:space="preserve">Krańcowa użyteczność, krańcowe stopy substytucji, elastyczność użyteczności i substytucji. Krzywa obojętności, koszyk optymalny.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II prawo Gossena.</w:t>
            </w:r>
          </w:p>
        </w:tc>
      </w:tr>
      <w:tr w:rsidR="007A3647" w:rsidRPr="006C59EC" w14:paraId="75FEAC99" w14:textId="77777777" w:rsidTr="009D1278">
        <w:tc>
          <w:tcPr>
            <w:tcW w:w="9639" w:type="dxa"/>
          </w:tcPr>
          <w:p w14:paraId="76D57537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Maksymalizacja użyteczności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konsumenta </w:t>
            </w:r>
            <w:r>
              <w:rPr>
                <w:rFonts w:ascii="Corbel" w:hAnsi="Corbel"/>
                <w:sz w:val="24"/>
                <w:szCs w:val="24"/>
              </w:rPr>
              <w:t>w ujęciu matematycznym. Zadania ZPL- metoda</w:t>
            </w:r>
            <w:r w:rsidRPr="00E549B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549B7">
              <w:rPr>
                <w:rFonts w:ascii="Corbel" w:hAnsi="Corbel"/>
                <w:sz w:val="24"/>
                <w:szCs w:val="24"/>
              </w:rPr>
              <w:t>Lagrange’a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Rozwiązania i interpretacja wyników.</w:t>
            </w:r>
          </w:p>
        </w:tc>
      </w:tr>
      <w:tr w:rsidR="007A3647" w:rsidRPr="006C59EC" w14:paraId="2D9C46FF" w14:textId="77777777" w:rsidTr="009D1278">
        <w:tc>
          <w:tcPr>
            <w:tcW w:w="9639" w:type="dxa"/>
          </w:tcPr>
          <w:p w14:paraId="46305FE5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Funkcja popytu konsumpcyjnego</w:t>
            </w:r>
          </w:p>
          <w:p w14:paraId="48DBA6D6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Własności funkcji popytu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Pośrednia funkcja użyteczności. Wyznaczanie funkcji popytu i pośredniej funkcji użyteczności. Koszyk optymalny na podstawie funkcji popytu.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Popyt krańcowy, e</w:t>
            </w:r>
            <w:r w:rsidRPr="00F55E98">
              <w:rPr>
                <w:rFonts w:ascii="Corbel" w:hAnsi="Corbel"/>
                <w:sz w:val="24"/>
                <w:szCs w:val="24"/>
              </w:rPr>
              <w:t>lastyczność cenowa oraz dochodowa popytu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06038D">
              <w:rPr>
                <w:rFonts w:ascii="Corbel" w:hAnsi="Corbel"/>
                <w:sz w:val="24"/>
                <w:szCs w:val="24"/>
              </w:rPr>
              <w:t>pływ dynamiki zmian ceny na popyt</w:t>
            </w:r>
            <w:r>
              <w:rPr>
                <w:rFonts w:ascii="Corbel" w:hAnsi="Corbel"/>
                <w:sz w:val="24"/>
                <w:szCs w:val="24"/>
              </w:rPr>
              <w:t>. Interpretacja pochodnych funkcji popytu.</w:t>
            </w:r>
          </w:p>
        </w:tc>
      </w:tr>
      <w:tr w:rsidR="007A3647" w:rsidRPr="006C59EC" w14:paraId="0761D7CF" w14:textId="77777777" w:rsidTr="009D1278">
        <w:tc>
          <w:tcPr>
            <w:tcW w:w="9639" w:type="dxa"/>
          </w:tcPr>
          <w:p w14:paraId="5F5C63A6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647">
              <w:rPr>
                <w:rFonts w:ascii="Corbel" w:hAnsi="Corbel"/>
                <w:sz w:val="24"/>
                <w:szCs w:val="24"/>
              </w:rP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transakcyjnej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667CE4A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Algorytmiczne modelowanie równowagi rynkowej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transakcyjnej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w sensie </w:t>
            </w:r>
            <w:proofErr w:type="spellStart"/>
            <w:r w:rsidRPr="00F55E98">
              <w:rPr>
                <w:rFonts w:ascii="Corbel" w:hAnsi="Corbel"/>
                <w:sz w:val="24"/>
                <w:szCs w:val="24"/>
              </w:rPr>
              <w:t>Arrowa-Hurwicza</w:t>
            </w:r>
            <w:proofErr w:type="spellEnd"/>
            <w:r w:rsidRPr="00F55E98"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Statyczny i dynamiczny model równowagi konkurencyjnej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Funkcja (wektor) nadmiernego popytu. Wektor cen równowagi</w:t>
            </w:r>
            <w:r>
              <w:rPr>
                <w:rFonts w:ascii="Corbel" w:hAnsi="Corbel"/>
                <w:sz w:val="24"/>
                <w:szCs w:val="24"/>
              </w:rPr>
              <w:t xml:space="preserve">. Optymalność  w sensie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Pareto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7A3647" w:rsidRPr="006C59EC" w14:paraId="330F7D56" w14:textId="77777777" w:rsidTr="009D1278">
        <w:tc>
          <w:tcPr>
            <w:tcW w:w="9639" w:type="dxa"/>
          </w:tcPr>
          <w:p w14:paraId="4FA0DB78" w14:textId="77777777" w:rsidR="007A3647" w:rsidRPr="00F55E98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produkcji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9105811" w14:textId="77777777" w:rsidR="007A3647" w:rsidRPr="006C59EC" w:rsidRDefault="007A3647" w:rsidP="00E07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38D">
              <w:rPr>
                <w:rFonts w:ascii="Corbel" w:hAnsi="Corbel"/>
                <w:sz w:val="24"/>
                <w:szCs w:val="24"/>
              </w:rPr>
              <w:t>Produkcja w ujęciu ekonomiczno-matematycznym. Klasyczne funkcje produkcji. Elastyczność substytucji a wielkość produkcji.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Podstawowe współczynniki charakteryzujące efektywność produkcji oraz izokwanty elementarnych funkcji produkcji </w:t>
            </w:r>
            <w:r w:rsidRPr="00F55E98">
              <w:rPr>
                <w:rFonts w:ascii="Corbel" w:hAnsi="Corbel"/>
                <w:sz w:val="24"/>
                <w:szCs w:val="24"/>
              </w:rPr>
              <w:sym w:font="Symbol" w:char="F02D"/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przykłady.</w:t>
            </w:r>
            <w:r>
              <w:rPr>
                <w:rFonts w:ascii="Corbel" w:hAnsi="Corbel"/>
                <w:sz w:val="24"/>
                <w:szCs w:val="24"/>
              </w:rPr>
              <w:t xml:space="preserve"> Funkcja popytu na czynniki produkcji, optymalny  wektor nakładów. Funkcja podaży produktu. Funkcje koszów i wydajności pracy- wybrane zagadnienia.</w:t>
            </w:r>
          </w:p>
        </w:tc>
      </w:tr>
      <w:tr w:rsidR="007A3647" w:rsidRPr="006C59EC" w14:paraId="0D433851" w14:textId="77777777" w:rsidTr="009D1278">
        <w:tc>
          <w:tcPr>
            <w:tcW w:w="9639" w:type="dxa"/>
          </w:tcPr>
          <w:p w14:paraId="74481B10" w14:textId="77777777" w:rsidR="007A3647" w:rsidRPr="00E549B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B7">
              <w:rPr>
                <w:rFonts w:ascii="Corbel" w:hAnsi="Corbel"/>
                <w:sz w:val="24"/>
                <w:szCs w:val="24"/>
              </w:rPr>
              <w:t xml:space="preserve">Krótko i długookresowe strategie przedsiębiorstw w warunkach konkurencji doskonałej. Modele </w:t>
            </w:r>
            <w:proofErr w:type="spellStart"/>
            <w:r w:rsidRPr="00E549B7">
              <w:rPr>
                <w:rFonts w:ascii="Corbel" w:hAnsi="Corbel"/>
                <w:sz w:val="24"/>
                <w:szCs w:val="24"/>
              </w:rPr>
              <w:t>egzo</w:t>
            </w:r>
            <w:proofErr w:type="spellEnd"/>
            <w:r w:rsidRPr="00E549B7">
              <w:rPr>
                <w:rFonts w:ascii="Corbel" w:hAnsi="Corbel"/>
                <w:sz w:val="24"/>
                <w:szCs w:val="24"/>
              </w:rPr>
              <w:t>- i endogeniczne wzrostu gospodarczego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D42682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D6341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B9897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F8877B" w14:textId="77777777" w:rsidR="007A3647" w:rsidRPr="00C66C7D" w:rsidRDefault="007A3647" w:rsidP="007A364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>Ćwiczenia.: rozwiązywanie zadań/</w:t>
      </w:r>
      <w:r w:rsidRPr="006C04F8">
        <w:rPr>
          <w:rFonts w:ascii="Corbel" w:hAnsi="Corbel"/>
          <w:b w:val="0"/>
          <w:smallCaps w:val="0"/>
          <w:szCs w:val="24"/>
        </w:rPr>
        <w:t>przykładowych problemów z wykorzystaniem narzędzi matematycznych, dyskusja. Praca własna indywidualna i zespołowa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47230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CB09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728F59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62CF8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C0BCA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7A3647" w:rsidRPr="009C54AE" w14:paraId="57B51DF5" w14:textId="77777777" w:rsidTr="009D1278">
        <w:tc>
          <w:tcPr>
            <w:tcW w:w="1843" w:type="dxa"/>
            <w:vAlign w:val="center"/>
          </w:tcPr>
          <w:p w14:paraId="1310F149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C0548FA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1CD4EED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59A519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1FA978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647" w:rsidRPr="009C54AE" w14:paraId="3C6BFC1A" w14:textId="77777777" w:rsidTr="009D1278">
        <w:tc>
          <w:tcPr>
            <w:tcW w:w="1843" w:type="dxa"/>
          </w:tcPr>
          <w:p w14:paraId="5A4B3723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128F3294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1A940AB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18041110" w14:textId="77777777" w:rsidTr="009D1278">
        <w:tc>
          <w:tcPr>
            <w:tcW w:w="1843" w:type="dxa"/>
          </w:tcPr>
          <w:p w14:paraId="15B34152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8DDB265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</w:p>
        </w:tc>
        <w:tc>
          <w:tcPr>
            <w:tcW w:w="2126" w:type="dxa"/>
          </w:tcPr>
          <w:p w14:paraId="0C118ABC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4C3EEA7E" w14:textId="77777777" w:rsidTr="009D1278">
        <w:tc>
          <w:tcPr>
            <w:tcW w:w="1843" w:type="dxa"/>
          </w:tcPr>
          <w:p w14:paraId="6F0F4037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71F810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EA5DDE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4B6BC1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15B84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B7ABD2" w14:textId="77777777" w:rsidTr="00923D7D">
        <w:tc>
          <w:tcPr>
            <w:tcW w:w="9670" w:type="dxa"/>
          </w:tcPr>
          <w:p w14:paraId="7EEF1054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452539D" w14:textId="77777777" w:rsidR="0050452C" w:rsidRPr="00FE1386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pisemne </w:t>
            </w:r>
            <w:r w:rsidRPr="00FE1386">
              <w:rPr>
                <w:rFonts w:ascii="Corbel" w:hAnsi="Corbel"/>
                <w:sz w:val="24"/>
                <w:szCs w:val="24"/>
              </w:rPr>
              <w:t>kolokwi</w:t>
            </w:r>
            <w:r>
              <w:rPr>
                <w:rFonts w:ascii="Corbel" w:hAnsi="Corbel"/>
                <w:sz w:val="24"/>
                <w:szCs w:val="24"/>
              </w:rPr>
              <w:t>um/test</w:t>
            </w:r>
          </w:p>
          <w:p w14:paraId="555E737E" w14:textId="77777777" w:rsidR="0050452C" w:rsidRPr="000A3003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003">
              <w:rPr>
                <w:rFonts w:ascii="Corbel" w:hAnsi="Corbel"/>
                <w:sz w:val="24"/>
                <w:szCs w:val="24"/>
              </w:rPr>
              <w:t>dodatkowo aktywność na zajęciach.</w:t>
            </w:r>
          </w:p>
          <w:p w14:paraId="2381913A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uzyskanych z kolokwium.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min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75%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kolokwium. Ocena 5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90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 i szczególnej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aktywności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CAD1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C4788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4128D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C823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30A6BBE" w14:textId="77777777" w:rsidTr="003E1941">
        <w:tc>
          <w:tcPr>
            <w:tcW w:w="4962" w:type="dxa"/>
            <w:vAlign w:val="center"/>
          </w:tcPr>
          <w:p w14:paraId="15F7B7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4F0F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AA52EA" w14:textId="77777777" w:rsidTr="00923D7D">
        <w:tc>
          <w:tcPr>
            <w:tcW w:w="4962" w:type="dxa"/>
          </w:tcPr>
          <w:p w14:paraId="41D4140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011B06F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48F47BD" w14:textId="77777777" w:rsidTr="00923D7D">
        <w:tc>
          <w:tcPr>
            <w:tcW w:w="4962" w:type="dxa"/>
          </w:tcPr>
          <w:p w14:paraId="3E3BA48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1232456" w14:textId="77777777" w:rsidR="00C61DC5" w:rsidRPr="009C54AE" w:rsidRDefault="0050452C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35BC8E" w14:textId="77777777" w:rsidR="00C61DC5" w:rsidRPr="009C54AE" w:rsidRDefault="00D83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C5CF0BD" w14:textId="77777777" w:rsidTr="00923D7D">
        <w:tc>
          <w:tcPr>
            <w:tcW w:w="4962" w:type="dxa"/>
          </w:tcPr>
          <w:p w14:paraId="07BFE153" w14:textId="77777777" w:rsidR="00C61DC5" w:rsidRPr="009C54AE" w:rsidRDefault="00C61DC5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452C">
              <w:rPr>
                <w:rFonts w:ascii="Corbel" w:hAnsi="Corbel"/>
                <w:sz w:val="24"/>
                <w:szCs w:val="24"/>
              </w:rPr>
              <w:t xml:space="preserve">  przygotowanie się do kolokwium/testu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6733E173" w14:textId="77777777" w:rsidR="00C61DC5" w:rsidRPr="009C54AE" w:rsidRDefault="0050452C" w:rsidP="00D83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834A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14:paraId="0698BA34" w14:textId="77777777" w:rsidTr="00923D7D">
        <w:tc>
          <w:tcPr>
            <w:tcW w:w="4962" w:type="dxa"/>
          </w:tcPr>
          <w:p w14:paraId="248C551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A8D8FA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6AFB7C5" w14:textId="77777777" w:rsidTr="00923D7D">
        <w:tc>
          <w:tcPr>
            <w:tcW w:w="4962" w:type="dxa"/>
          </w:tcPr>
          <w:p w14:paraId="2C2C060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F009AB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29C17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F648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F012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136C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D67E8F7" w14:textId="77777777" w:rsidTr="008962A4">
        <w:trPr>
          <w:trHeight w:val="397"/>
        </w:trPr>
        <w:tc>
          <w:tcPr>
            <w:tcW w:w="2359" w:type="pct"/>
          </w:tcPr>
          <w:p w14:paraId="59274F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2A7F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5CD9F05" w14:textId="77777777" w:rsidTr="008962A4">
        <w:trPr>
          <w:trHeight w:val="397"/>
        </w:trPr>
        <w:tc>
          <w:tcPr>
            <w:tcW w:w="2359" w:type="pct"/>
          </w:tcPr>
          <w:p w14:paraId="166140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BF5F5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C5A3A5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CE5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E8DE2D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F631E1E" w14:textId="77777777" w:rsidTr="008962A4">
        <w:trPr>
          <w:trHeight w:val="397"/>
        </w:trPr>
        <w:tc>
          <w:tcPr>
            <w:tcW w:w="5000" w:type="pct"/>
          </w:tcPr>
          <w:p w14:paraId="0444CE18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31CB9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materia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y do 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/ Joanna G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rka, Witold Orzeszko, Marcin Wata. - Warszawa :C. H. Beck, 2009.</w:t>
            </w:r>
          </w:p>
          <w:p w14:paraId="3291D347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teoria, przyk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ady, zadania / Urszula Grzybowska. - Warszawa : Wydawnictwo SGGW, 2009.</w:t>
            </w:r>
          </w:p>
        </w:tc>
      </w:tr>
      <w:tr w:rsidR="0085747A" w:rsidRPr="009C54AE" w14:paraId="28671A1F" w14:textId="77777777" w:rsidTr="008962A4">
        <w:trPr>
          <w:trHeight w:val="397"/>
        </w:trPr>
        <w:tc>
          <w:tcPr>
            <w:tcW w:w="5000" w:type="pct"/>
          </w:tcPr>
          <w:p w14:paraId="388717C7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A7ED95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Ekonomia matematyczna w zadaniach / [aut.] Anna </w:t>
            </w: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Blajer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-Go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łę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biewska [et al.] ; red. nauk. Teresa Kami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ska.- </w:t>
            </w: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Dodr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. -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 : Wydawnictwo Uniwersytetu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skiego, 2009.</w:t>
            </w:r>
          </w:p>
          <w:p w14:paraId="12524120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Chiang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A., Podstawy ekonomii matematycznej, PWN, Warszawa 1994.</w:t>
            </w:r>
          </w:p>
          <w:p w14:paraId="789933DA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Panek E., Ekonomia matematyczna, Wyd. AE, Poznań 2003.</w:t>
            </w:r>
          </w:p>
        </w:tc>
      </w:tr>
    </w:tbl>
    <w:p w14:paraId="1661EE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0F4841" w14:textId="77777777" w:rsidR="00B16A3B" w:rsidRPr="009C54AE" w:rsidRDefault="00B16A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53CF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1D83B" w14:textId="77777777" w:rsidR="00F530E6" w:rsidRDefault="00F530E6" w:rsidP="00C16ABF">
      <w:pPr>
        <w:spacing w:after="0" w:line="240" w:lineRule="auto"/>
      </w:pPr>
      <w:r>
        <w:separator/>
      </w:r>
    </w:p>
  </w:endnote>
  <w:endnote w:type="continuationSeparator" w:id="0">
    <w:p w14:paraId="789ABA29" w14:textId="77777777" w:rsidR="00F530E6" w:rsidRDefault="00F530E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4C0B4" w14:textId="77777777" w:rsidR="00F530E6" w:rsidRDefault="00F530E6" w:rsidP="00C16ABF">
      <w:pPr>
        <w:spacing w:after="0" w:line="240" w:lineRule="auto"/>
      </w:pPr>
      <w:r>
        <w:separator/>
      </w:r>
    </w:p>
  </w:footnote>
  <w:footnote w:type="continuationSeparator" w:id="0">
    <w:p w14:paraId="6BA3B4C6" w14:textId="77777777" w:rsidR="00F530E6" w:rsidRDefault="00F530E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A4EAB"/>
    <w:multiLevelType w:val="hybridMultilevel"/>
    <w:tmpl w:val="572CA96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C3966"/>
    <w:multiLevelType w:val="hybridMultilevel"/>
    <w:tmpl w:val="E65ABAE2"/>
    <w:lvl w:ilvl="0" w:tplc="8B7EDE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47799"/>
    <w:multiLevelType w:val="hybridMultilevel"/>
    <w:tmpl w:val="5956972C"/>
    <w:lvl w:ilvl="0" w:tplc="AB960A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7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83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71E"/>
    <w:rsid w:val="004D5282"/>
    <w:rsid w:val="004F1551"/>
    <w:rsid w:val="004F55A3"/>
    <w:rsid w:val="0050452C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1198"/>
    <w:rsid w:val="005F31D2"/>
    <w:rsid w:val="0061029B"/>
    <w:rsid w:val="00617230"/>
    <w:rsid w:val="00621CE1"/>
    <w:rsid w:val="0062616B"/>
    <w:rsid w:val="00627FC9"/>
    <w:rsid w:val="00647FA8"/>
    <w:rsid w:val="00650C5F"/>
    <w:rsid w:val="00654934"/>
    <w:rsid w:val="006620D9"/>
    <w:rsid w:val="00671958"/>
    <w:rsid w:val="00675843"/>
    <w:rsid w:val="00696477"/>
    <w:rsid w:val="006B71BB"/>
    <w:rsid w:val="006D050F"/>
    <w:rsid w:val="006D6139"/>
    <w:rsid w:val="006E45DE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4F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364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4D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1EA8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A3B"/>
    <w:rsid w:val="00B3130B"/>
    <w:rsid w:val="00B36B3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A87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2F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4A8"/>
    <w:rsid w:val="00D8678B"/>
    <w:rsid w:val="00DA2114"/>
    <w:rsid w:val="00DA6057"/>
    <w:rsid w:val="00DC6D0C"/>
    <w:rsid w:val="00DE09C0"/>
    <w:rsid w:val="00DE4A14"/>
    <w:rsid w:val="00DF320D"/>
    <w:rsid w:val="00DF71C8"/>
    <w:rsid w:val="00E07DF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7E9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9AA"/>
    <w:rsid w:val="00F526AF"/>
    <w:rsid w:val="00F530E6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DC5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623A6"/>
  <w15:docId w15:val="{89CE4BA6-ADD4-48DE-808B-553F26A7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67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67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67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7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7E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F60F6-CB46-4424-9B07-B19CC4E37E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4F58A5-691C-4D67-A7E2-12B30D6E3E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EE6AE7-0E5C-43E8-817F-38ED52E6F6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68811A-361A-4F7B-AE9A-B92BBC683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1080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9</cp:revision>
  <cp:lastPrinted>2019-02-06T12:12:00Z</cp:lastPrinted>
  <dcterms:created xsi:type="dcterms:W3CDTF">2020-10-14T14:22:00Z</dcterms:created>
  <dcterms:modified xsi:type="dcterms:W3CDTF">2021-11-02T21:01:00Z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